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KOR HR SOLUTIONS</w:t>
      </w:r>
    </w:p>
    <w:p>
      <w:pPr>
        <w:pStyle w:val="Heading1"/>
      </w:pPr>
      <w:r>
        <w:t>Project Assignment Agreement</w:t>
      </w:r>
    </w:p>
    <w:p>
      <w:r>
        <w:t>Per-project agreement • KOR-approved template v3.0 • October 14, 2026</w:t>
      </w:r>
    </w:p>
    <w:p>
      <w:pPr>
        <w:pStyle w:val="Subtitle"/>
      </w:pPr>
      <w:r>
        <w:t>PROJECT ASSIGNMENT AGREEMENT TEMPLATE — becomes binding when KOR and the Professional accept a specific assignment</w:t>
      </w:r>
    </w:p>
    <w:p>
      <w:r>
        <w:t>This Assignment Agreement supplements the signed KOR HR Professional Agreement. Complete all fields and obtain acceptance before work begins. Do not share internal professional compensation with the customer.</w:t>
      </w:r>
    </w:p>
    <w:tbl>
      <w:tblPr>
        <w:tblStyle w:val="LightShading-Accent1"/>
        <w:tblW w:type="auto" w:w="0"/>
        <w:tblLook w:firstColumn="1" w:firstRow="1" w:lastColumn="0" w:lastRow="0" w:noHBand="0" w:noVBand="1" w:val="04A0"/>
      </w:tblPr>
      <w:tblGrid>
        <w:gridCol w:w="3600"/>
        <w:gridCol w:w="4320"/>
      </w:tblGrid>
      <w:tr>
        <w:tc>
          <w:tcPr>
            <w:tcW w:type="dxa" w:w="3600"/>
          </w:tcPr>
          <w:p>
            <w:r>
              <w:t>Assignment reference</w:t>
            </w:r>
          </w:p>
        </w:tc>
        <w:tc>
          <w:tcPr>
            <w:tcW w:type="dxa" w:w="4320"/>
          </w:tcPr>
          <w:p>
            <w:r>
              <w:t>KOR-____________</w:t>
            </w:r>
          </w:p>
        </w:tc>
      </w:tr>
      <w:tr>
        <w:tc>
          <w:tcPr>
            <w:tcW w:type="dxa" w:w="3600"/>
          </w:tcPr>
          <w:p>
            <w:r>
              <w:t>Project/service</w:t>
            </w:r>
          </w:p>
        </w:tc>
        <w:tc>
          <w:tcPr>
            <w:tcW w:type="dxa" w:w="4320"/>
          </w:tcPr>
          <w:p>
            <w:r>
              <w:t>________________________________________</w:t>
            </w:r>
          </w:p>
        </w:tc>
      </w:tr>
      <w:tr>
        <w:tc>
          <w:tcPr>
            <w:tcW w:type="dxa" w:w="3600"/>
          </w:tcPr>
          <w:p>
            <w:r>
              <w:t>Customer reference (internal)</w:t>
            </w:r>
          </w:p>
        </w:tc>
        <w:tc>
          <w:tcPr>
            <w:tcW w:type="dxa" w:w="4320"/>
          </w:tcPr>
          <w:p>
            <w:r>
              <w:t>________________________________________</w:t>
            </w:r>
          </w:p>
        </w:tc>
      </w:tr>
      <w:tr>
        <w:tc>
          <w:tcPr>
            <w:tcW w:type="dxa" w:w="3600"/>
          </w:tcPr>
          <w:p>
            <w:r>
              <w:t>Professional / internal ID</w:t>
            </w:r>
          </w:p>
        </w:tc>
        <w:tc>
          <w:tcPr>
            <w:tcW w:type="dxa" w:w="4320"/>
          </w:tcPr>
          <w:p>
            <w:r>
              <w:t>________________________________________</w:t>
            </w:r>
          </w:p>
        </w:tc>
      </w:tr>
      <w:tr>
        <w:tc>
          <w:tcPr>
            <w:tcW w:type="dxa" w:w="3600"/>
          </w:tcPr>
          <w:p>
            <w:r>
              <w:t>KOR Admin contact</w:t>
            </w:r>
          </w:p>
        </w:tc>
        <w:tc>
          <w:tcPr>
            <w:tcW w:type="dxa" w:w="4320"/>
          </w:tcPr>
          <w:p>
            <w:r>
              <w:t>________________________________________</w:t>
            </w:r>
          </w:p>
        </w:tc>
      </w:tr>
      <w:tr>
        <w:tc>
          <w:tcPr>
            <w:tcW w:type="dxa" w:w="3600"/>
          </w:tcPr>
          <w:p>
            <w:r>
              <w:t>Effective/acceptance date</w:t>
            </w:r>
          </w:p>
        </w:tc>
        <w:tc>
          <w:tcPr>
            <w:tcW w:type="dxa" w:w="4320"/>
          </w:tcPr>
          <w:p>
            <w:r>
              <w:t>________________________________________</w:t>
            </w:r>
          </w:p>
        </w:tc>
      </w:tr>
      <w:tr>
        <w:tc>
          <w:tcPr>
            <w:tcW w:type="dxa" w:w="3600"/>
          </w:tcPr>
          <w:p>
            <w:r>
              <w:t>Start authorization date</w:t>
            </w:r>
          </w:p>
        </w:tc>
        <w:tc>
          <w:tcPr>
            <w:tcW w:type="dxa" w:w="4320"/>
          </w:tcPr>
          <w:p>
            <w:r>
              <w:t>________________________________________</w:t>
            </w:r>
          </w:p>
        </w:tc>
      </w:tr>
      <w:tr>
        <w:tc>
          <w:tcPr>
            <w:tcW w:type="dxa" w:w="3600"/>
          </w:tcPr>
          <w:p>
            <w:r>
              <w:t>Due date and time zone</w:t>
            </w:r>
          </w:p>
        </w:tc>
        <w:tc>
          <w:tcPr>
            <w:tcW w:type="dxa" w:w="4320"/>
          </w:tcPr>
          <w:p>
            <w:r>
              <w:t>________________________________________</w:t>
            </w:r>
          </w:p>
        </w:tc>
      </w:tr>
      <w:tr>
        <w:tc>
          <w:tcPr>
            <w:tcW w:type="dxa" w:w="3600"/>
          </w:tcPr>
          <w:p>
            <w:r>
              <w:t>Required deliverables / file formats</w:t>
            </w:r>
          </w:p>
        </w:tc>
        <w:tc>
          <w:tcPr>
            <w:tcW w:type="dxa" w:w="4320"/>
          </w:tcPr>
          <w:p>
            <w:r>
              <w:t>________________________________________</w:t>
            </w:r>
          </w:p>
        </w:tc>
      </w:tr>
      <w:tr>
        <w:tc>
          <w:tcPr>
            <w:tcW w:type="dxa" w:w="3600"/>
          </w:tcPr>
          <w:p>
            <w:r>
              <w:t>Scope and success criteria</w:t>
            </w:r>
          </w:p>
        </w:tc>
        <w:tc>
          <w:tcPr>
            <w:tcW w:type="dxa" w:w="4320"/>
          </w:tcPr>
          <w:p>
            <w:r>
              <w:t>________________________________________</w:t>
            </w:r>
          </w:p>
        </w:tc>
      </w:tr>
      <w:tr>
        <w:tc>
          <w:tcPr>
            <w:tcW w:type="dxa" w:w="3600"/>
          </w:tcPr>
          <w:p>
            <w:r>
              <w:t>Required reference standards / documents</w:t>
            </w:r>
          </w:p>
        </w:tc>
        <w:tc>
          <w:tcPr>
            <w:tcW w:type="dxa" w:w="4320"/>
          </w:tcPr>
          <w:p>
            <w:r>
              <w:t>________________________________________</w:t>
            </w:r>
          </w:p>
        </w:tc>
      </w:tr>
      <w:tr>
        <w:tc>
          <w:tcPr>
            <w:tcW w:type="dxa" w:w="3600"/>
          </w:tcPr>
          <w:p>
            <w:r>
              <w:t>Out-of-scope items</w:t>
            </w:r>
          </w:p>
        </w:tc>
        <w:tc>
          <w:tcPr>
            <w:tcW w:type="dxa" w:w="4320"/>
          </w:tcPr>
          <w:p>
            <w:r>
              <w:t>________________________________________</w:t>
            </w:r>
          </w:p>
        </w:tc>
      </w:tr>
      <w:tr>
        <w:tc>
          <w:tcPr>
            <w:tcW w:type="dxa" w:w="3600"/>
          </w:tcPr>
          <w:p>
            <w:r>
              <w:t>Revision allowance and deadlines</w:t>
            </w:r>
          </w:p>
        </w:tc>
        <w:tc>
          <w:tcPr>
            <w:tcW w:type="dxa" w:w="4320"/>
          </w:tcPr>
          <w:p>
            <w:r>
              <w:t>________________________________________</w:t>
            </w:r>
          </w:p>
        </w:tc>
      </w:tr>
      <w:tr>
        <w:tc>
          <w:tcPr>
            <w:tcW w:type="dxa" w:w="3600"/>
          </w:tcPr>
          <w:p>
            <w:r>
              <w:t>Professional compensation (USD)</w:t>
            </w:r>
          </w:p>
        </w:tc>
        <w:tc>
          <w:tcPr>
            <w:tcW w:type="dxa" w:w="4320"/>
          </w:tcPr>
          <w:p>
            <w:r>
              <w:t>________________________________________</w:t>
            </w:r>
          </w:p>
        </w:tc>
      </w:tr>
      <w:tr>
        <w:tc>
          <w:tcPr>
            <w:tcW w:type="dxa" w:w="3600"/>
          </w:tcPr>
          <w:p>
            <w:r>
              <w:t>Milestone compensation (if approved)</w:t>
            </w:r>
          </w:p>
        </w:tc>
        <w:tc>
          <w:tcPr>
            <w:tcW w:type="dxa" w:w="4320"/>
          </w:tcPr>
          <w:p>
            <w:r>
              <w:t>________________________________________</w:t>
            </w:r>
          </w:p>
        </w:tc>
      </w:tr>
      <w:tr>
        <w:tc>
          <w:tcPr>
            <w:tcW w:type="dxa" w:w="3600"/>
          </w:tcPr>
          <w:p>
            <w:r>
              <w:t>KOR acceptance criteria</w:t>
            </w:r>
          </w:p>
        </w:tc>
        <w:tc>
          <w:tcPr>
            <w:tcW w:type="dxa" w:w="4320"/>
          </w:tcPr>
          <w:p>
            <w:r>
              <w:t>________________________________________</w:t>
            </w:r>
          </w:p>
        </w:tc>
      </w:tr>
      <w:tr>
        <w:tc>
          <w:tcPr>
            <w:tcW w:type="dxa" w:w="3600"/>
          </w:tcPr>
          <w:p>
            <w:r>
              <w:t>Professional acceptance decision (Accept / Decline)</w:t>
            </w:r>
          </w:p>
        </w:tc>
        <w:tc>
          <w:tcPr>
            <w:tcW w:type="dxa" w:w="4320"/>
          </w:tcPr>
          <w:p>
            <w:r>
              <w:t>________________________________________</w:t>
            </w:r>
          </w:p>
        </w:tc>
      </w:tr>
      <w:tr>
        <w:tc>
          <w:tcPr>
            <w:tcW w:type="dxa" w:w="3600"/>
          </w:tcPr>
          <w:p>
            <w:r>
              <w:t>Actual Admin acceptance date (after delivery)</w:t>
            </w:r>
          </w:p>
        </w:tc>
        <w:tc>
          <w:tcPr>
            <w:tcW w:type="dxa" w:w="4320"/>
          </w:tcPr>
          <w:p>
            <w:r>
              <w:t>________________________________________</w:t>
            </w:r>
          </w:p>
        </w:tc>
      </w:tr>
      <w:tr>
        <w:tc>
          <w:tcPr>
            <w:tcW w:type="dxa" w:w="3600"/>
          </w:tcPr>
          <w:p>
            <w:r>
              <w:t>Approved changes / milestone authorization</w:t>
            </w:r>
          </w:p>
        </w:tc>
        <w:tc>
          <w:tcPr>
            <w:tcW w:type="dxa" w:w="4320"/>
          </w:tcPr>
          <w:p>
            <w:r>
              <w:t>________________________________________</w:t>
            </w:r>
          </w:p>
        </w:tc>
      </w:tr>
      <w:tr>
        <w:tc>
          <w:tcPr>
            <w:tcW w:type="dxa" w:w="3600"/>
          </w:tcPr>
          <w:p>
            <w:r>
              <w:t>Applicable insurance / screening requirements (if any)</w:t>
            </w:r>
          </w:p>
        </w:tc>
        <w:tc>
          <w:tcPr>
            <w:tcW w:type="dxa" w:w="4320"/>
          </w:tcPr>
          <w:p>
            <w:r>
              <w:t>________________________________________</w:t>
            </w:r>
          </w:p>
        </w:tc>
      </w:tr>
    </w:tbl>
    <w:p>
      <w:pPr>
        <w:pStyle w:val="Heading2"/>
      </w:pPr>
      <w:r>
        <w:t>Assignment Acceptance</w:t>
      </w:r>
    </w:p>
    <w:p>
      <w:r>
        <w:t>The Professional may accept or decline without automatic penalty. Acceptance confirms the capacity and qualifications to meet the stated scope, deliverables, deadlines, compensation, and applicable confidentiality and quality requirements. Work begins only after explicit Professional acceptance and KOR Admin authorization. No unauthorized subcontracting, scope changes, or direct customer commitments.</w:t>
      </w:r>
    </w:p>
    <w:p>
      <w:pPr>
        <w:pStyle w:val="Heading2"/>
      </w:pPr>
      <w:r>
        <w:t>Payment and Review</w:t>
      </w:r>
    </w:p>
    <w:p>
      <w:r>
        <w:t>The Professional submits deliverables to KOR Admin, not directly to the customer. Admin targets initial review within three (3) business days, with documented exceptions for complex work, and shall not unreasonably delay acceptance to defer payment. Required in-scope corrections precede final acceptance. Unless written milestone terms below apply, KOR initiates ACH payment within seven (7) business days after formal Admin acceptance, provided payout and tax setup are complete. Bank settlement may take longer. Any dispute is documented under the master Agreement.</w:t>
      </w:r>
    </w:p>
    <w:p>
      <w:pPr>
        <w:pStyle w:val="Heading2"/>
      </w:pPr>
      <w:r>
        <w:t>Change Requests</w:t>
      </w:r>
    </w:p>
    <w:p>
      <w:r>
        <w:t>Any material change to scope, deliverables, deadline, revision expectations, or compensation must be agreed in writing by KOR Admin and the Professional before changed work begins. The Professional shall report anticipated delay promptly, preferably two business days before the due date where feasible. KOR alone manages customer pricing and commitments.</w:t>
      </w:r>
    </w:p>
    <w:p>
      <w:pPr>
        <w:pStyle w:val="Heading2"/>
      </w:pPr>
      <w:r>
        <w:t>Communication and Privacy</w:t>
      </w:r>
    </w:p>
    <w:p>
      <w:r>
        <w:t>Use the KOR Project Workspace for project communications and files unless Admin authorizes an exception. Customer-facing views must not expose the Professional’s legal name, private contacts, bank details, compensation, or payout status. Follow the master Agreement’s conflict, confidentiality, and information-security requirements.</w:t>
      </w:r>
    </w:p>
    <w:p>
      <w:pPr>
        <w:pStyle w:val="Heading2"/>
      </w:pPr>
      <w:r>
        <w:t>Priority of Terms</w:t>
      </w:r>
    </w:p>
    <w:p>
      <w:r>
        <w:t>This Assignment Agreement supplements the signed master Professional Agreement. Specific accepted scope, deadlines, milestones, and compensation control for this project; master confidentiality, security, and professional conduct obligations remain in force. Clarify any material conflict in writing before acceptance.</w:t>
      </w:r>
    </w:p>
    <w:p>
      <w:pPr>
        <w:pStyle w:val="Heading1"/>
      </w:pPr>
      <w:r>
        <w:t>Acceptance</w:t>
      </w:r>
    </w:p>
    <w:p>
      <w:r>
        <w:t>Professional legal name: __________________________________</w:t>
      </w:r>
    </w:p>
    <w:p>
      <w:r>
        <w:t>Professional electronic signature: _____________________________</w:t>
      </w:r>
    </w:p>
    <w:p>
      <w:r>
        <w:t>Date/time accepted: __________________________________________</w:t>
      </w:r>
    </w:p>
    <w:p>
      <w:r>
        <w:t>KOR Admin authorization: _____________________________________</w:t>
      </w:r>
    </w:p>
    <w:p>
      <w:r>
        <w:t>Authorization date/time: ______________________________________</w:t>
      </w:r>
    </w:p>
    <w:p>
      <w:r>
        <w:t>KOR-approved business template. Not an executed assignment until project-specific fields are completed and both parties accept it.</w:t>
      </w:r>
    </w:p>
    <w:sectPr w:rsidR="00FC693F" w:rsidRPr="0006063C" w:rsidSect="00034616">
      <w:headerReference w:type="default" r:id="rId9"/>
      <w:footerReference w:type="default" r:id="rId10"/>
      <w:pgSz w:w="12240" w:h="15840"/>
      <w:pgMar w:top="1123" w:right="1800" w:bottom="1008" w:left="1800"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KOR HR Solutions • Draft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KOR HR Solutions  |  Confidential agreement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64C"/>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6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